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bCs/>
          <w:sz w:val="28"/>
          <w:szCs w:val="28"/>
          <w:lang w:bidi="ar"/>
        </w:rPr>
      </w:pPr>
      <w:r>
        <w:rPr>
          <w:rFonts w:hint="eastAsia" w:ascii="宋体" w:hAnsi="宋体" w:eastAsia="宋体" w:cs="宋体"/>
          <w:b/>
          <w:bCs/>
          <w:sz w:val="28"/>
          <w:szCs w:val="28"/>
          <w:lang w:bidi="ar"/>
        </w:rPr>
        <w:t>封面：</w:t>
      </w:r>
    </w:p>
    <w:p>
      <w:pPr>
        <w:rPr>
          <w:rFonts w:ascii="宋体" w:hAnsi="宋体" w:eastAsia="宋体" w:cs="宋体"/>
          <w:b/>
          <w:bCs/>
          <w:sz w:val="24"/>
          <w:szCs w:val="24"/>
          <w:lang w:bidi="ar"/>
        </w:rPr>
      </w:pPr>
      <w:r>
        <w:rPr>
          <w:rFonts w:hint="eastAsia" w:ascii="宋体" w:hAnsi="宋体" w:eastAsia="宋体" w:cs="宋体"/>
          <w:b/>
          <w:bCs/>
          <w:sz w:val="24"/>
          <w:szCs w:val="24"/>
          <w:lang w:bidi="ar"/>
        </w:rPr>
        <w:t>标题：</w:t>
      </w:r>
    </w:p>
    <w:p>
      <w:pPr>
        <w:rPr>
          <w:rFonts w:ascii="宋体" w:hAnsi="宋体" w:eastAsia="宋体" w:cs="宋体"/>
          <w:szCs w:val="21"/>
          <w:lang w:bidi="ar"/>
        </w:rPr>
      </w:pPr>
      <w:r>
        <w:rPr>
          <w:rFonts w:hint="eastAsia" w:ascii="宋体" w:hAnsi="宋体" w:eastAsia="宋体" w:cs="宋体"/>
          <w:szCs w:val="21"/>
          <w:lang w:bidi="ar"/>
        </w:rPr>
        <w:t>会议|华润三九医药股份有限公司成员来访交流</w:t>
      </w:r>
    </w:p>
    <w:p>
      <w:pPr>
        <w:rPr>
          <w:rFonts w:ascii="宋体" w:hAnsi="宋体" w:eastAsia="宋体" w:cs="宋体"/>
          <w:b/>
          <w:bCs/>
          <w:szCs w:val="21"/>
          <w:lang w:bidi="ar"/>
        </w:rPr>
      </w:pPr>
    </w:p>
    <w:p>
      <w:pPr>
        <w:rPr>
          <w:rFonts w:ascii="宋体" w:hAnsi="宋体" w:eastAsia="宋体" w:cs="宋体"/>
          <w:b/>
          <w:bCs/>
          <w:sz w:val="24"/>
          <w:szCs w:val="24"/>
          <w:lang w:bidi="ar"/>
        </w:rPr>
      </w:pPr>
      <w:r>
        <w:rPr>
          <w:rFonts w:hint="eastAsia" w:ascii="宋体" w:hAnsi="宋体" w:eastAsia="宋体" w:cs="宋体"/>
          <w:b/>
          <w:bCs/>
          <w:sz w:val="24"/>
          <w:szCs w:val="24"/>
          <w:lang w:bidi="ar"/>
        </w:rPr>
        <w:t>头图：</w:t>
      </w:r>
    </w:p>
    <w:p>
      <w:pPr>
        <w:rPr>
          <w:rFonts w:ascii="宋体" w:hAnsi="宋体" w:eastAsia="宋体" w:cs="宋体"/>
          <w:b/>
          <w:bCs/>
          <w:szCs w:val="21"/>
          <w:lang w:bidi="ar"/>
        </w:rPr>
      </w:pPr>
      <w:r>
        <w:drawing>
          <wp:inline distT="0" distB="0" distL="0" distR="0">
            <wp:extent cx="5263515" cy="2924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80332" cy="2933518"/>
                    </a:xfrm>
                    <a:prstGeom prst="rect">
                      <a:avLst/>
                    </a:prstGeom>
                    <a:noFill/>
                    <a:ln>
                      <a:noFill/>
                    </a:ln>
                  </pic:spPr>
                </pic:pic>
              </a:graphicData>
            </a:graphic>
          </wp:inline>
        </w:drawing>
      </w:r>
    </w:p>
    <w:p>
      <w:pPr>
        <w:rPr>
          <w:rFonts w:ascii="宋体" w:hAnsi="宋体" w:eastAsia="宋体" w:cs="宋体"/>
          <w:b/>
          <w:bCs/>
          <w:sz w:val="24"/>
          <w:szCs w:val="24"/>
          <w:lang w:bidi="ar"/>
        </w:rPr>
      </w:pPr>
      <w:r>
        <w:rPr>
          <w:rFonts w:hint="eastAsia" w:ascii="宋体" w:hAnsi="宋体" w:eastAsia="宋体" w:cs="宋体"/>
          <w:b/>
          <w:bCs/>
          <w:sz w:val="24"/>
          <w:szCs w:val="24"/>
          <w:lang w:bidi="ar"/>
        </w:rPr>
        <w:t>摘要：</w:t>
      </w:r>
    </w:p>
    <w:p>
      <w:pPr>
        <w:rPr>
          <w:rFonts w:ascii="宋体" w:hAnsi="宋体" w:eastAsia="宋体" w:cs="宋体"/>
          <w:b/>
          <w:bCs/>
          <w:szCs w:val="21"/>
          <w:lang w:bidi="ar"/>
        </w:rPr>
      </w:pPr>
      <w:r>
        <w:rPr>
          <w:rFonts w:hint="eastAsia" w:ascii="宋体" w:hAnsi="宋体" w:eastAsia="宋体" w:cs="宋体"/>
          <w:szCs w:val="21"/>
          <w:lang w:bidi="ar"/>
        </w:rPr>
        <w:t>2</w:t>
      </w:r>
      <w:r>
        <w:rPr>
          <w:rFonts w:ascii="宋体" w:hAnsi="宋体" w:eastAsia="宋体" w:cs="宋体"/>
          <w:szCs w:val="21"/>
          <w:lang w:bidi="ar"/>
        </w:rPr>
        <w:t>023</w:t>
      </w:r>
      <w:r>
        <w:rPr>
          <w:rFonts w:hint="eastAsia" w:ascii="宋体" w:hAnsi="宋体" w:eastAsia="宋体" w:cs="宋体"/>
          <w:szCs w:val="21"/>
          <w:lang w:bidi="ar"/>
        </w:rPr>
        <w:t>年4月1</w:t>
      </w:r>
      <w:r>
        <w:rPr>
          <w:rFonts w:ascii="宋体" w:hAnsi="宋体" w:eastAsia="宋体" w:cs="宋体"/>
          <w:szCs w:val="21"/>
          <w:lang w:bidi="ar"/>
        </w:rPr>
        <w:t>1</w:t>
      </w:r>
      <w:r>
        <w:rPr>
          <w:rFonts w:hint="eastAsia" w:ascii="宋体" w:hAnsi="宋体" w:eastAsia="宋体" w:cs="宋体"/>
          <w:szCs w:val="21"/>
          <w:lang w:bidi="ar"/>
        </w:rPr>
        <w:t>日上午，华润三九医药股份有限公司成员来访，与天津大学环境设计及工业设计专业探讨产学研合作事宜</w:t>
      </w:r>
      <w:r>
        <w:rPr>
          <w:rFonts w:hint="eastAsia" w:ascii="宋体" w:hAnsi="宋体" w:eastAsia="宋体" w:cs="宋体"/>
          <w:b/>
          <w:bCs/>
          <w:szCs w:val="21"/>
          <w:lang w:bidi="ar"/>
        </w:rPr>
        <w:t>。</w:t>
      </w:r>
    </w:p>
    <w:p>
      <w:pPr>
        <w:rPr>
          <w:rFonts w:ascii="宋体" w:hAnsi="宋体" w:eastAsia="宋体" w:cs="宋体"/>
          <w:b/>
          <w:bCs/>
          <w:szCs w:val="21"/>
          <w:lang w:bidi="ar"/>
        </w:rPr>
      </w:pPr>
    </w:p>
    <w:p>
      <w:pPr>
        <w:rPr>
          <w:rFonts w:ascii="宋体" w:hAnsi="宋体" w:eastAsia="宋体" w:cs="宋体"/>
          <w:b/>
          <w:bCs/>
          <w:sz w:val="28"/>
          <w:szCs w:val="28"/>
          <w:lang w:bidi="ar"/>
        </w:rPr>
      </w:pPr>
      <w:r>
        <w:rPr>
          <w:rFonts w:hint="eastAsia" w:ascii="宋体" w:hAnsi="宋体" w:eastAsia="宋体" w:cs="宋体"/>
          <w:b/>
          <w:bCs/>
          <w:sz w:val="28"/>
          <w:szCs w:val="28"/>
          <w:lang w:bidi="ar"/>
        </w:rPr>
        <w:t>正文：</w:t>
      </w:r>
    </w:p>
    <w:p>
      <w:pPr>
        <w:rPr>
          <w:rFonts w:ascii="宋体" w:hAnsi="宋体" w:eastAsia="宋体" w:cs="宋体"/>
          <w:szCs w:val="21"/>
          <w:lang w:bidi="ar"/>
        </w:rPr>
      </w:pPr>
      <w:r>
        <w:rPr>
          <w:rFonts w:hint="eastAsia" w:ascii="宋体" w:hAnsi="宋体" w:eastAsia="宋体" w:cs="宋体"/>
          <w:szCs w:val="21"/>
          <w:lang w:bidi="ar"/>
        </w:rPr>
        <w:t>2</w:t>
      </w:r>
      <w:r>
        <w:rPr>
          <w:rFonts w:ascii="宋体" w:hAnsi="宋体" w:eastAsia="宋体" w:cs="宋体"/>
          <w:szCs w:val="21"/>
          <w:lang w:bidi="ar"/>
        </w:rPr>
        <w:t>023</w:t>
      </w:r>
      <w:r>
        <w:rPr>
          <w:rFonts w:hint="eastAsia" w:ascii="宋体" w:hAnsi="宋体" w:eastAsia="宋体" w:cs="宋体"/>
          <w:szCs w:val="21"/>
          <w:lang w:bidi="ar"/>
        </w:rPr>
        <w:t>年4月1</w:t>
      </w:r>
      <w:r>
        <w:rPr>
          <w:rFonts w:ascii="宋体" w:hAnsi="宋体" w:eastAsia="宋体" w:cs="宋体"/>
          <w:szCs w:val="21"/>
          <w:lang w:bidi="ar"/>
        </w:rPr>
        <w:t>1</w:t>
      </w:r>
      <w:r>
        <w:rPr>
          <w:rFonts w:hint="eastAsia" w:ascii="宋体" w:hAnsi="宋体" w:eastAsia="宋体" w:cs="宋体"/>
          <w:szCs w:val="21"/>
          <w:lang w:bidi="ar"/>
        </w:rPr>
        <w:t>日上午，华润三九医药股份有限公司战略运营部副总经理，工业设计中心主任段宏莉、伏羲实验室研究与规划总监徐梦祯、伏羲实验室项目孵化总监张光普和工业设计中心首席设计师陈德腾一行4人来访天大，与天津大学工业设计中心成员就前期合作项目的进一步深化问题进行了探讨；与无障碍通用设计研究中心成员就华润三九医药股份有限公司环境设计事宜进行了洽谈。参加此次交流会的有：原无障碍通用设计研究中心主任、建筑学院教授王小荣；天津大学客座教授、赛阳国际公司总经理赵晓征；环境设计系常务副主任、无障碍通用设计研究中心副主任赵伟；无障碍通用设计研究中心成员、环境设计专业教师贾巍杨和张小弸；天津大学工业设计创新中心常务副主任、工业设计专业负责人项忠霞；天津大学工业设计创新中心成员、工业设计专业教师杨君宇和朱黎明。参加交流会的还有参与和即将参与合作项目的研究生董良、杨炳鑫、胡斯冷、刘映麟、王译涵等。</w:t>
      </w:r>
    </w:p>
    <w:p>
      <w:pPr>
        <w:rPr>
          <w:rFonts w:ascii="宋体" w:hAnsi="宋体" w:eastAsia="宋体" w:cs="宋体"/>
          <w:b/>
          <w:bCs/>
          <w:sz w:val="24"/>
          <w:szCs w:val="24"/>
          <w:lang w:bidi="ar"/>
        </w:rPr>
      </w:pPr>
    </w:p>
    <w:p>
      <w:pPr>
        <w:rPr>
          <w:rFonts w:ascii="宋体" w:hAnsi="宋体" w:eastAsia="宋体" w:cs="宋体"/>
          <w:b/>
          <w:bCs/>
          <w:sz w:val="24"/>
          <w:szCs w:val="24"/>
          <w:lang w:bidi="ar"/>
        </w:rPr>
      </w:pPr>
      <w:r>
        <w:rPr>
          <w:rFonts w:hint="eastAsia" w:ascii="宋体" w:hAnsi="宋体" w:eastAsia="宋体" w:cs="宋体"/>
          <w:b/>
          <w:bCs/>
          <w:sz w:val="24"/>
          <w:szCs w:val="24"/>
          <w:lang w:bidi="ar"/>
        </w:rPr>
        <w:t>会议议程：</w:t>
      </w:r>
    </w:p>
    <w:p>
      <w:pPr>
        <w:rPr>
          <w:rFonts w:ascii="宋体" w:hAnsi="宋体" w:eastAsia="宋体" w:cs="宋体"/>
          <w:b/>
          <w:bCs/>
          <w:szCs w:val="21"/>
          <w:lang w:bidi="ar"/>
        </w:rPr>
      </w:pPr>
      <w:r>
        <w:rPr>
          <w:rFonts w:hint="eastAsia" w:ascii="宋体" w:hAnsi="宋体" w:eastAsia="宋体" w:cs="宋体"/>
          <w:b/>
          <w:bCs/>
          <w:szCs w:val="21"/>
          <w:lang w:bidi="ar"/>
        </w:rPr>
        <w:t>Part</w:t>
      </w:r>
      <w:r>
        <w:rPr>
          <w:rFonts w:ascii="宋体" w:hAnsi="宋体" w:eastAsia="宋体" w:cs="宋体"/>
          <w:b/>
          <w:bCs/>
          <w:szCs w:val="21"/>
          <w:lang w:bidi="ar"/>
        </w:rPr>
        <w:t xml:space="preserve"> 1. </w:t>
      </w:r>
      <w:r>
        <w:rPr>
          <w:rFonts w:hint="eastAsia" w:ascii="宋体" w:hAnsi="宋体" w:eastAsia="宋体" w:cs="宋体"/>
          <w:b/>
          <w:bCs/>
          <w:szCs w:val="21"/>
          <w:lang w:bidi="ar"/>
        </w:rPr>
        <w:t>天津大学适老化通用设计研究成果及相关工作介绍</w:t>
      </w:r>
    </w:p>
    <w:p>
      <w:pPr>
        <w:rPr>
          <w:rFonts w:ascii="宋体" w:hAnsi="宋体" w:eastAsia="宋体" w:cs="宋体"/>
          <w:szCs w:val="21"/>
          <w:lang w:bidi="ar"/>
        </w:rPr>
      </w:pPr>
      <w:r>
        <w:rPr>
          <w:rFonts w:hint="eastAsia" w:ascii="宋体" w:hAnsi="宋体" w:eastAsia="宋体" w:cs="宋体"/>
          <w:szCs w:val="21"/>
          <w:lang w:bidi="ar"/>
        </w:rPr>
        <w:t>环境设计系赵伟副主任首先就天津大学无障碍通用设计中心的</w:t>
      </w:r>
      <w:r>
        <w:rPr>
          <w:rFonts w:ascii="宋体" w:hAnsi="宋体" w:eastAsia="宋体" w:cs="宋体"/>
          <w:szCs w:val="21"/>
          <w:lang w:bidi="ar"/>
        </w:rPr>
        <w:t>人员组成</w:t>
      </w:r>
      <w:r>
        <w:rPr>
          <w:rFonts w:hint="eastAsia" w:ascii="宋体" w:hAnsi="宋体" w:eastAsia="宋体" w:cs="宋体"/>
          <w:szCs w:val="21"/>
          <w:lang w:bidi="ar"/>
        </w:rPr>
        <w:t>、</w:t>
      </w:r>
      <w:r>
        <w:rPr>
          <w:rFonts w:ascii="宋体" w:hAnsi="宋体" w:eastAsia="宋体" w:cs="宋体"/>
          <w:szCs w:val="21"/>
          <w:lang w:bidi="ar"/>
        </w:rPr>
        <w:t>组织架构</w:t>
      </w:r>
      <w:r>
        <w:rPr>
          <w:rFonts w:hint="eastAsia" w:ascii="宋体" w:hAnsi="宋体" w:eastAsia="宋体" w:cs="宋体"/>
          <w:szCs w:val="21"/>
          <w:lang w:bidi="ar"/>
        </w:rPr>
        <w:t>、取得的相关奖励及荣誉进行了初步介绍。在教学领域，无障碍设计已经在天大课堂教学中得到实践，包括系列精品课程的开展及国内首批专业教材的编写。在科研领域，天津大学无障碍通用设计中心产出了包括相关标准、指南、著作、专利在内的众多科研成果，并完成了系列国家重点研发计划。在实践领域，天津大学无障碍通用设计中心服务于国家重大需求，在城市更新、适老化改造等实际项目中进行无障碍标识系统的设计，产生了巨大的社会效益。</w:t>
      </w:r>
    </w:p>
    <w:p>
      <w:pPr>
        <w:rPr>
          <w:rFonts w:ascii="宋体" w:hAnsi="宋体" w:eastAsia="宋体" w:cs="宋体"/>
          <w:b/>
          <w:bCs/>
          <w:szCs w:val="21"/>
          <w:lang w:bidi="ar"/>
        </w:rPr>
      </w:pPr>
      <w:r>
        <w:rPr>
          <w:rFonts w:hint="eastAsia" w:ascii="宋体" w:hAnsi="宋体" w:eastAsia="宋体" w:cs="宋体"/>
          <w:b/>
          <w:bCs/>
          <w:szCs w:val="21"/>
          <w:lang w:bidi="ar"/>
        </w:rPr>
        <w:t>图1</w:t>
      </w:r>
    </w:p>
    <w:p>
      <w:pPr>
        <w:rPr>
          <w:rFonts w:ascii="宋体" w:hAnsi="宋体" w:eastAsia="宋体" w:cs="宋体"/>
          <w:szCs w:val="21"/>
          <w:lang w:bidi="ar"/>
        </w:rPr>
      </w:pPr>
      <w:r>
        <w:drawing>
          <wp:inline distT="0" distB="0" distL="0" distR="0">
            <wp:extent cx="5274310" cy="29679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pPr>
        <w:rPr>
          <w:rFonts w:ascii="宋体" w:hAnsi="宋体" w:eastAsia="宋体" w:cs="宋体"/>
          <w:szCs w:val="21"/>
          <w:lang w:bidi="ar"/>
        </w:rPr>
      </w:pPr>
    </w:p>
    <w:p>
      <w:pPr>
        <w:rPr>
          <w:rFonts w:ascii="Calibri" w:hAnsi="Calibri" w:eastAsia="宋体" w:cs="Arial"/>
          <w:b/>
          <w:bCs/>
          <w:szCs w:val="21"/>
        </w:rPr>
      </w:pPr>
      <w:r>
        <w:rPr>
          <w:rFonts w:hint="eastAsia" w:ascii="宋体" w:hAnsi="宋体" w:eastAsia="宋体" w:cs="宋体"/>
          <w:b/>
          <w:bCs/>
          <w:szCs w:val="21"/>
          <w:lang w:bidi="ar"/>
        </w:rPr>
        <w:t>Part</w:t>
      </w:r>
      <w:r>
        <w:rPr>
          <w:rFonts w:ascii="宋体" w:hAnsi="宋体" w:eastAsia="宋体" w:cs="宋体"/>
          <w:b/>
          <w:bCs/>
          <w:szCs w:val="21"/>
          <w:lang w:bidi="ar"/>
        </w:rPr>
        <w:t xml:space="preserve"> 2. </w:t>
      </w:r>
      <w:r>
        <w:rPr>
          <w:rFonts w:hint="eastAsia" w:ascii="Calibri" w:hAnsi="Calibri" w:eastAsia="宋体" w:cs="Arial"/>
          <w:b/>
          <w:bCs/>
          <w:szCs w:val="21"/>
        </w:rPr>
        <w:t>天津大学工业设计专业及相关工作介绍</w:t>
      </w:r>
    </w:p>
    <w:p>
      <w:pPr>
        <w:rPr>
          <w:rFonts w:ascii="宋体" w:hAnsi="宋体" w:eastAsia="宋体" w:cs="宋体"/>
          <w:szCs w:val="21"/>
          <w:lang w:bidi="ar"/>
        </w:rPr>
      </w:pPr>
      <w:r>
        <w:rPr>
          <w:rFonts w:hint="eastAsia" w:ascii="宋体" w:hAnsi="宋体" w:eastAsia="宋体" w:cs="宋体"/>
          <w:szCs w:val="21"/>
          <w:lang w:bidi="ar"/>
        </w:rPr>
        <w:t>工业设计专业负责人项忠霞教授就天津大学工业设计专业的建设情况及主要研究方向进行了介绍。天津大学工业设计专业以灵活丰富的项目式课程、长期坚持的国际化交流、广泛开展的校企合作、频繁深入的校友沟通为特色，旨在为学生提供远超出校园内的教学与实践资源，以培养学生应对未来不确定社会环境变化的能力。随后，项忠霞教授介绍了由工业设计主导，多学校、多专业学生参与的以养老社区为主题的团队毕业设计项目情况。最后，由参与组织华润三九医药股份有限公司委托的《</w:t>
      </w:r>
      <w:r>
        <w:rPr>
          <w:rFonts w:hint="eastAsia" w:ascii="Calibri" w:hAnsi="Calibri" w:eastAsia="宋体" w:cs="Calibri"/>
          <w:szCs w:val="21"/>
          <w:lang w:bidi="ar"/>
        </w:rPr>
        <w:t>医药行业包装工业设计</w:t>
      </w:r>
      <w:r>
        <w:rPr>
          <w:rFonts w:hint="eastAsia" w:ascii="宋体" w:hAnsi="宋体" w:eastAsia="宋体" w:cs="宋体"/>
          <w:szCs w:val="21"/>
          <w:lang w:bidi="ar"/>
        </w:rPr>
        <w:t>白皮书》项目的工业设计专业研究生董良同学介绍了《白皮书》相关内容及成果情况。来访团队对天大工业设计的教学、科研，以及团队完成的《白皮书》内容和成果给与了高度评价。</w:t>
      </w:r>
    </w:p>
    <w:p>
      <w:pPr>
        <w:rPr>
          <w:rFonts w:ascii="宋体" w:hAnsi="宋体" w:eastAsia="宋体" w:cs="宋体"/>
          <w:b/>
          <w:bCs/>
          <w:szCs w:val="21"/>
          <w:lang w:bidi="ar"/>
        </w:rPr>
      </w:pPr>
      <w:r>
        <w:rPr>
          <w:rFonts w:hint="eastAsia" w:ascii="宋体" w:hAnsi="宋体" w:eastAsia="宋体" w:cs="宋体"/>
          <w:b/>
          <w:bCs/>
          <w:szCs w:val="21"/>
          <w:lang w:bidi="ar"/>
        </w:rPr>
        <w:t>图</w:t>
      </w:r>
      <w:r>
        <w:rPr>
          <w:rFonts w:ascii="宋体" w:hAnsi="宋体" w:eastAsia="宋体" w:cs="宋体"/>
          <w:b/>
          <w:bCs/>
          <w:szCs w:val="21"/>
          <w:lang w:bidi="ar"/>
        </w:rPr>
        <w:t>2</w:t>
      </w:r>
    </w:p>
    <w:p>
      <w:pPr>
        <w:rPr>
          <w:rFonts w:ascii="宋体" w:hAnsi="宋体" w:eastAsia="宋体" w:cs="宋体"/>
          <w:szCs w:val="21"/>
          <w:lang w:bidi="ar"/>
        </w:rPr>
      </w:pPr>
      <w:r>
        <w:drawing>
          <wp:inline distT="0" distB="0" distL="0" distR="0">
            <wp:extent cx="5274310" cy="29679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pPr>
        <w:rPr>
          <w:rFonts w:ascii="宋体" w:hAnsi="宋体" w:eastAsia="宋体" w:cs="宋体"/>
          <w:szCs w:val="21"/>
          <w:lang w:bidi="ar"/>
        </w:rPr>
      </w:pPr>
    </w:p>
    <w:p>
      <w:pPr>
        <w:rPr>
          <w:rFonts w:ascii="Calibri" w:hAnsi="Calibri" w:eastAsia="宋体" w:cs="Arial"/>
          <w:b/>
          <w:bCs/>
          <w:szCs w:val="21"/>
        </w:rPr>
      </w:pPr>
      <w:r>
        <w:rPr>
          <w:rFonts w:hint="eastAsia" w:ascii="宋体" w:hAnsi="宋体" w:eastAsia="宋体" w:cs="宋体"/>
          <w:b/>
          <w:bCs/>
          <w:szCs w:val="21"/>
          <w:lang w:bidi="ar"/>
        </w:rPr>
        <w:t>Part</w:t>
      </w:r>
      <w:r>
        <w:rPr>
          <w:rFonts w:ascii="宋体" w:hAnsi="宋体" w:eastAsia="宋体" w:cs="宋体"/>
          <w:b/>
          <w:bCs/>
          <w:szCs w:val="21"/>
          <w:lang w:bidi="ar"/>
        </w:rPr>
        <w:t xml:space="preserve"> 3. </w:t>
      </w:r>
      <w:r>
        <w:rPr>
          <w:rFonts w:hint="eastAsia" w:ascii="宋体" w:hAnsi="宋体" w:eastAsia="宋体" w:cs="宋体"/>
          <w:b/>
          <w:bCs/>
          <w:szCs w:val="21"/>
          <w:lang w:bidi="ar"/>
        </w:rPr>
        <w:t>华润三九医药股份有限公司及伏羲实验室情况简介及合作议题研讨</w:t>
      </w:r>
    </w:p>
    <w:p>
      <w:pPr>
        <w:rPr>
          <w:rFonts w:ascii="宋体" w:hAnsi="宋体" w:eastAsia="宋体" w:cs="宋体"/>
          <w:szCs w:val="21"/>
          <w:lang w:bidi="ar"/>
        </w:rPr>
      </w:pPr>
      <w:r>
        <w:rPr>
          <w:rFonts w:hint="eastAsia" w:ascii="宋体" w:hAnsi="宋体" w:eastAsia="宋体" w:cs="宋体"/>
          <w:szCs w:val="21"/>
          <w:lang w:bidi="ar"/>
        </w:rPr>
        <w:t>华润三九工业设计中心段宏莉主任首先介绍了华润三九本次来访的主要诉求，并且表达了深化与天津大学的产学研合作，深入挖掘《白皮书》项目价值，引领医药行业工业设计发展的愿景。随后，华润三九伏羲实验室研究与规划总监徐梦祯为我们详细介绍了华润集团及华润三九的相关情况以及</w:t>
      </w:r>
      <w:r>
        <w:rPr>
          <w:rFonts w:ascii="宋体" w:hAnsi="宋体" w:eastAsia="宋体" w:cs="宋体"/>
          <w:szCs w:val="21"/>
          <w:lang w:bidi="ar"/>
        </w:rPr>
        <w:t>伏羲实验室</w:t>
      </w:r>
      <w:r>
        <w:rPr>
          <w:rFonts w:hint="eastAsia" w:ascii="宋体" w:hAnsi="宋体" w:eastAsia="宋体" w:cs="宋体"/>
          <w:szCs w:val="21"/>
          <w:lang w:bidi="ar"/>
        </w:rPr>
        <w:t>的建设情况。最后，双方就伏羲实验室的具体设计规划问题进行了深入研讨，初步确定了后续的合作内容。</w:t>
      </w:r>
    </w:p>
    <w:p>
      <w:pPr>
        <w:rPr>
          <w:rFonts w:ascii="宋体" w:hAnsi="宋体" w:eastAsia="宋体" w:cs="宋体"/>
          <w:b/>
          <w:bCs/>
          <w:szCs w:val="21"/>
          <w:lang w:bidi="ar"/>
        </w:rPr>
      </w:pPr>
      <w:r>
        <w:rPr>
          <w:rFonts w:hint="eastAsia" w:ascii="宋体" w:hAnsi="宋体" w:eastAsia="宋体" w:cs="宋体"/>
          <w:b/>
          <w:bCs/>
          <w:szCs w:val="21"/>
          <w:lang w:bidi="ar"/>
        </w:rPr>
        <w:t>图</w:t>
      </w:r>
      <w:r>
        <w:rPr>
          <w:rFonts w:ascii="宋体" w:hAnsi="宋体" w:eastAsia="宋体" w:cs="宋体"/>
          <w:b/>
          <w:bCs/>
          <w:szCs w:val="21"/>
          <w:lang w:bidi="ar"/>
        </w:rPr>
        <w:t>3</w:t>
      </w:r>
    </w:p>
    <w:p>
      <w:pPr>
        <w:rPr>
          <w:rFonts w:ascii="宋体" w:hAnsi="宋体" w:eastAsia="宋体" w:cs="宋体"/>
          <w:szCs w:val="21"/>
          <w:lang w:bidi="ar"/>
        </w:rPr>
      </w:pPr>
      <w:r>
        <w:rPr>
          <w:rFonts w:ascii="宋体" w:hAnsi="宋体" w:eastAsia="宋体" w:cs="宋体"/>
          <w:szCs w:val="21"/>
          <w:lang w:bidi="ar"/>
        </w:rPr>
        <w:drawing>
          <wp:inline distT="0" distB="0" distL="0" distR="0">
            <wp:extent cx="5274310" cy="3956050"/>
            <wp:effectExtent l="0" t="0" r="2540" b="6350"/>
            <wp:docPr id="1789857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57980"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ascii="宋体" w:hAnsi="宋体" w:eastAsia="宋体" w:cs="宋体"/>
          <w:szCs w:val="21"/>
          <w:lang w:bidi="ar"/>
        </w:rPr>
      </w:pPr>
    </w:p>
    <w:p>
      <w:pPr>
        <w:rPr>
          <w:rFonts w:hint="eastAsia" w:ascii="宋体" w:hAnsi="宋体" w:eastAsia="宋体" w:cs="宋体"/>
          <w:szCs w:val="21"/>
          <w:lang w:eastAsia="zh-CN" w:bidi="ar"/>
        </w:rPr>
      </w:pPr>
      <w:r>
        <w:rPr>
          <w:rFonts w:hint="eastAsia" w:ascii="宋体" w:hAnsi="宋体" w:eastAsia="宋体" w:cs="宋体"/>
          <w:szCs w:val="21"/>
          <w:lang w:eastAsia="zh-CN" w:bidi="ar"/>
        </w:rPr>
        <w:drawing>
          <wp:inline distT="0" distB="0" distL="114300" distR="114300">
            <wp:extent cx="5266690" cy="2604135"/>
            <wp:effectExtent l="0" t="0" r="6350" b="1905"/>
            <wp:docPr id="2" name="图片 2" descr="0d0145edd9fed583bea3e93641849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0145edd9fed583bea3e93641849c84"/>
                    <pic:cNvPicPr>
                      <a:picLocks noChangeAspect="1"/>
                    </pic:cNvPicPr>
                  </pic:nvPicPr>
                  <pic:blipFill>
                    <a:blip r:embed="rId8"/>
                    <a:stretch>
                      <a:fillRect/>
                    </a:stretch>
                  </pic:blipFill>
                  <pic:spPr>
                    <a:xfrm>
                      <a:off x="0" y="0"/>
                      <a:ext cx="5266690" cy="26041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spacing w:val="7"/>
          <w:sz w:val="19"/>
          <w:szCs w:val="19"/>
        </w:rPr>
      </w:pPr>
      <w:r>
        <w:rPr>
          <w:rFonts w:hint="eastAsia" w:ascii="Microsoft YaHei UI" w:hAnsi="Microsoft YaHei UI" w:eastAsia="Microsoft YaHei UI" w:cs="Microsoft YaHei UI"/>
          <w:i w:val="0"/>
          <w:iCs w:val="0"/>
          <w:caps w:val="0"/>
          <w:color w:val="7F7F7F"/>
          <w:spacing w:val="7"/>
          <w:sz w:val="14"/>
          <w:szCs w:val="14"/>
          <w:bdr w:val="none" w:color="auto" w:sz="0" w:space="0"/>
          <w:shd w:val="clear" w:fill="FFFFFF"/>
        </w:rPr>
        <w:t>｜文案：董良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7"/>
          <w:sz w:val="19"/>
          <w:szCs w:val="19"/>
        </w:rPr>
      </w:pPr>
      <w:r>
        <w:rPr>
          <w:rFonts w:hint="eastAsia" w:ascii="Microsoft YaHei UI" w:hAnsi="Microsoft YaHei UI" w:eastAsia="Microsoft YaHei UI" w:cs="Microsoft YaHei UI"/>
          <w:i w:val="0"/>
          <w:iCs w:val="0"/>
          <w:caps w:val="0"/>
          <w:color w:val="7F7F7F"/>
          <w:spacing w:val="7"/>
          <w:sz w:val="14"/>
          <w:szCs w:val="14"/>
          <w:bdr w:val="none" w:color="auto" w:sz="0" w:space="0"/>
          <w:shd w:val="clear" w:fill="FFFFFF"/>
        </w:rPr>
        <w:t>｜摄影：董良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7"/>
          <w:sz w:val="19"/>
          <w:szCs w:val="19"/>
        </w:rPr>
      </w:pPr>
      <w:r>
        <w:rPr>
          <w:rFonts w:hint="eastAsia" w:ascii="Microsoft YaHei UI" w:hAnsi="Microsoft YaHei UI" w:eastAsia="Microsoft YaHei UI" w:cs="Microsoft YaHei UI"/>
          <w:i w:val="0"/>
          <w:iCs w:val="0"/>
          <w:caps w:val="0"/>
          <w:color w:val="7F7F7F"/>
          <w:spacing w:val="7"/>
          <w:sz w:val="14"/>
          <w:szCs w:val="14"/>
          <w:bdr w:val="none" w:color="auto" w:sz="0" w:space="0"/>
          <w:shd w:val="clear" w:fill="FFFFFF"/>
        </w:rPr>
        <w:t>｜排版：于米提江·托乎提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7"/>
          <w:sz w:val="19"/>
          <w:szCs w:val="19"/>
        </w:rPr>
      </w:pPr>
      <w:r>
        <w:rPr>
          <w:rFonts w:hint="eastAsia" w:ascii="Microsoft YaHei UI" w:hAnsi="Microsoft YaHei UI" w:eastAsia="Microsoft YaHei UI" w:cs="Microsoft YaHei UI"/>
          <w:i w:val="0"/>
          <w:iCs w:val="0"/>
          <w:caps w:val="0"/>
          <w:color w:val="7F7F7F"/>
          <w:spacing w:val="7"/>
          <w:sz w:val="14"/>
          <w:szCs w:val="14"/>
          <w:bdr w:val="none" w:color="auto" w:sz="0" w:space="0"/>
          <w:shd w:val="clear" w:fill="FFFFFF"/>
        </w:rPr>
        <w:t>｜审核：项忠霞  杨君宇</w:t>
      </w:r>
    </w:p>
    <w:p>
      <w:pPr>
        <w:rPr>
          <w:rFonts w:hint="eastAsia" w:ascii="宋体" w:hAnsi="宋体" w:eastAsia="宋体" w:cs="宋体"/>
          <w:szCs w:val="21"/>
          <w:lang w:eastAsia="zh-CN" w:bidi="ar"/>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jY2YxNmJlYjljMzMzMjQ4OTM2MWZhYzY1MWNkNGIifQ=="/>
  </w:docVars>
  <w:rsids>
    <w:rsidRoot w:val="00F947CE"/>
    <w:rsid w:val="00004BC1"/>
    <w:rsid w:val="00006610"/>
    <w:rsid w:val="00007B66"/>
    <w:rsid w:val="00021C91"/>
    <w:rsid w:val="00024224"/>
    <w:rsid w:val="000264F8"/>
    <w:rsid w:val="00047347"/>
    <w:rsid w:val="00056CBC"/>
    <w:rsid w:val="00063D60"/>
    <w:rsid w:val="00064D70"/>
    <w:rsid w:val="000706A1"/>
    <w:rsid w:val="000733C8"/>
    <w:rsid w:val="00074349"/>
    <w:rsid w:val="000868FF"/>
    <w:rsid w:val="00086F81"/>
    <w:rsid w:val="000933E3"/>
    <w:rsid w:val="00095FB6"/>
    <w:rsid w:val="000A2B1B"/>
    <w:rsid w:val="000E55D4"/>
    <w:rsid w:val="000F1648"/>
    <w:rsid w:val="0012158F"/>
    <w:rsid w:val="00125BAB"/>
    <w:rsid w:val="00134761"/>
    <w:rsid w:val="00164C06"/>
    <w:rsid w:val="0017225C"/>
    <w:rsid w:val="00174903"/>
    <w:rsid w:val="0017798C"/>
    <w:rsid w:val="00181BAD"/>
    <w:rsid w:val="00191A30"/>
    <w:rsid w:val="001A62DE"/>
    <w:rsid w:val="001A6A96"/>
    <w:rsid w:val="001B42F4"/>
    <w:rsid w:val="001C5CD7"/>
    <w:rsid w:val="001D1088"/>
    <w:rsid w:val="001D6626"/>
    <w:rsid w:val="001E48BE"/>
    <w:rsid w:val="001F3C35"/>
    <w:rsid w:val="001F413E"/>
    <w:rsid w:val="00211206"/>
    <w:rsid w:val="00213BE1"/>
    <w:rsid w:val="00245479"/>
    <w:rsid w:val="002468B4"/>
    <w:rsid w:val="002532A4"/>
    <w:rsid w:val="00257CBB"/>
    <w:rsid w:val="002612AD"/>
    <w:rsid w:val="0026140B"/>
    <w:rsid w:val="002646F5"/>
    <w:rsid w:val="002672EC"/>
    <w:rsid w:val="0027787B"/>
    <w:rsid w:val="0028314D"/>
    <w:rsid w:val="00283674"/>
    <w:rsid w:val="00287A9A"/>
    <w:rsid w:val="002A56FE"/>
    <w:rsid w:val="002B55CB"/>
    <w:rsid w:val="002E4245"/>
    <w:rsid w:val="00310B82"/>
    <w:rsid w:val="00355DCF"/>
    <w:rsid w:val="00362306"/>
    <w:rsid w:val="00363447"/>
    <w:rsid w:val="003727D9"/>
    <w:rsid w:val="0038445D"/>
    <w:rsid w:val="003A2F7F"/>
    <w:rsid w:val="003A3A4B"/>
    <w:rsid w:val="003B2201"/>
    <w:rsid w:val="003B26A7"/>
    <w:rsid w:val="003B7275"/>
    <w:rsid w:val="003C0432"/>
    <w:rsid w:val="003C07FE"/>
    <w:rsid w:val="003C6BBD"/>
    <w:rsid w:val="003D2176"/>
    <w:rsid w:val="003D6170"/>
    <w:rsid w:val="003E244E"/>
    <w:rsid w:val="003E384C"/>
    <w:rsid w:val="003E4A4B"/>
    <w:rsid w:val="003F1BEE"/>
    <w:rsid w:val="00415CA8"/>
    <w:rsid w:val="00420366"/>
    <w:rsid w:val="004214E9"/>
    <w:rsid w:val="00425BAF"/>
    <w:rsid w:val="0043439A"/>
    <w:rsid w:val="00437D62"/>
    <w:rsid w:val="00441E67"/>
    <w:rsid w:val="00443AEB"/>
    <w:rsid w:val="00456DA1"/>
    <w:rsid w:val="00463313"/>
    <w:rsid w:val="0046393A"/>
    <w:rsid w:val="004732D5"/>
    <w:rsid w:val="00480B4B"/>
    <w:rsid w:val="00493697"/>
    <w:rsid w:val="00497DF2"/>
    <w:rsid w:val="004A3542"/>
    <w:rsid w:val="004A3816"/>
    <w:rsid w:val="004B43B4"/>
    <w:rsid w:val="004C2D20"/>
    <w:rsid w:val="004C45C2"/>
    <w:rsid w:val="004D37A6"/>
    <w:rsid w:val="004D62D6"/>
    <w:rsid w:val="004D7B7F"/>
    <w:rsid w:val="004F6E96"/>
    <w:rsid w:val="005000E4"/>
    <w:rsid w:val="00502C4C"/>
    <w:rsid w:val="00504D1F"/>
    <w:rsid w:val="00511B86"/>
    <w:rsid w:val="005162F6"/>
    <w:rsid w:val="0052262C"/>
    <w:rsid w:val="00544C91"/>
    <w:rsid w:val="0055688C"/>
    <w:rsid w:val="005607D9"/>
    <w:rsid w:val="00580D7C"/>
    <w:rsid w:val="00584319"/>
    <w:rsid w:val="005953F7"/>
    <w:rsid w:val="00596F1C"/>
    <w:rsid w:val="005A1801"/>
    <w:rsid w:val="005A6FAA"/>
    <w:rsid w:val="005C0E9F"/>
    <w:rsid w:val="005D3296"/>
    <w:rsid w:val="005D5FD4"/>
    <w:rsid w:val="005F00AB"/>
    <w:rsid w:val="00605EC5"/>
    <w:rsid w:val="006271BC"/>
    <w:rsid w:val="006401BB"/>
    <w:rsid w:val="006427E0"/>
    <w:rsid w:val="00652D08"/>
    <w:rsid w:val="00690638"/>
    <w:rsid w:val="00693FBB"/>
    <w:rsid w:val="00697723"/>
    <w:rsid w:val="006A13F4"/>
    <w:rsid w:val="006C3404"/>
    <w:rsid w:val="006D3DD2"/>
    <w:rsid w:val="006D7F7E"/>
    <w:rsid w:val="00705FC3"/>
    <w:rsid w:val="0071443B"/>
    <w:rsid w:val="0073723F"/>
    <w:rsid w:val="00744E67"/>
    <w:rsid w:val="00744E86"/>
    <w:rsid w:val="00750278"/>
    <w:rsid w:val="00763305"/>
    <w:rsid w:val="00763F32"/>
    <w:rsid w:val="007726F6"/>
    <w:rsid w:val="007727BC"/>
    <w:rsid w:val="0077755E"/>
    <w:rsid w:val="00781F0F"/>
    <w:rsid w:val="00791D7E"/>
    <w:rsid w:val="007B1ACE"/>
    <w:rsid w:val="007B4DB2"/>
    <w:rsid w:val="007E681D"/>
    <w:rsid w:val="007F6FA4"/>
    <w:rsid w:val="007F76BB"/>
    <w:rsid w:val="008024C5"/>
    <w:rsid w:val="00812D2E"/>
    <w:rsid w:val="00816D7C"/>
    <w:rsid w:val="00824377"/>
    <w:rsid w:val="0083129F"/>
    <w:rsid w:val="0084064F"/>
    <w:rsid w:val="00841D08"/>
    <w:rsid w:val="0088071A"/>
    <w:rsid w:val="0088266A"/>
    <w:rsid w:val="008A3DE4"/>
    <w:rsid w:val="008B1275"/>
    <w:rsid w:val="008B4F24"/>
    <w:rsid w:val="008C4EDD"/>
    <w:rsid w:val="008D2C55"/>
    <w:rsid w:val="008D5267"/>
    <w:rsid w:val="008F78EF"/>
    <w:rsid w:val="00901331"/>
    <w:rsid w:val="009059CA"/>
    <w:rsid w:val="00921182"/>
    <w:rsid w:val="00927DB3"/>
    <w:rsid w:val="00931F5D"/>
    <w:rsid w:val="00932B43"/>
    <w:rsid w:val="00934E3D"/>
    <w:rsid w:val="0093789A"/>
    <w:rsid w:val="009424CD"/>
    <w:rsid w:val="00944CD8"/>
    <w:rsid w:val="009541CC"/>
    <w:rsid w:val="00955D04"/>
    <w:rsid w:val="00965746"/>
    <w:rsid w:val="00971EB0"/>
    <w:rsid w:val="009745C5"/>
    <w:rsid w:val="00974A0E"/>
    <w:rsid w:val="009768FD"/>
    <w:rsid w:val="00977BE6"/>
    <w:rsid w:val="009916E1"/>
    <w:rsid w:val="00993219"/>
    <w:rsid w:val="009937B4"/>
    <w:rsid w:val="0099498C"/>
    <w:rsid w:val="00995E24"/>
    <w:rsid w:val="009A2D91"/>
    <w:rsid w:val="009A62F4"/>
    <w:rsid w:val="009B0BDE"/>
    <w:rsid w:val="009B5D82"/>
    <w:rsid w:val="009D0643"/>
    <w:rsid w:val="009E07CC"/>
    <w:rsid w:val="009F1DAA"/>
    <w:rsid w:val="009F3C02"/>
    <w:rsid w:val="00A24773"/>
    <w:rsid w:val="00A31181"/>
    <w:rsid w:val="00A46C9F"/>
    <w:rsid w:val="00A564AA"/>
    <w:rsid w:val="00A675CE"/>
    <w:rsid w:val="00A71D2C"/>
    <w:rsid w:val="00A728A2"/>
    <w:rsid w:val="00A75476"/>
    <w:rsid w:val="00A75B3B"/>
    <w:rsid w:val="00A77040"/>
    <w:rsid w:val="00A818F0"/>
    <w:rsid w:val="00A85127"/>
    <w:rsid w:val="00AB25D2"/>
    <w:rsid w:val="00AB548C"/>
    <w:rsid w:val="00AC1831"/>
    <w:rsid w:val="00AC44C9"/>
    <w:rsid w:val="00AC57B8"/>
    <w:rsid w:val="00AD321F"/>
    <w:rsid w:val="00AE3115"/>
    <w:rsid w:val="00AF578F"/>
    <w:rsid w:val="00AF6F2E"/>
    <w:rsid w:val="00B058F0"/>
    <w:rsid w:val="00B133AC"/>
    <w:rsid w:val="00B17396"/>
    <w:rsid w:val="00B20D62"/>
    <w:rsid w:val="00B22745"/>
    <w:rsid w:val="00B26CC2"/>
    <w:rsid w:val="00B32374"/>
    <w:rsid w:val="00B4162D"/>
    <w:rsid w:val="00B4733E"/>
    <w:rsid w:val="00B56158"/>
    <w:rsid w:val="00B60D95"/>
    <w:rsid w:val="00B63160"/>
    <w:rsid w:val="00B65FC6"/>
    <w:rsid w:val="00B7068C"/>
    <w:rsid w:val="00B75526"/>
    <w:rsid w:val="00B76C24"/>
    <w:rsid w:val="00B83B11"/>
    <w:rsid w:val="00B87509"/>
    <w:rsid w:val="00BA5336"/>
    <w:rsid w:val="00BB5CB4"/>
    <w:rsid w:val="00BC4CEB"/>
    <w:rsid w:val="00BC54B5"/>
    <w:rsid w:val="00BE17E6"/>
    <w:rsid w:val="00BE65D3"/>
    <w:rsid w:val="00BF0AB9"/>
    <w:rsid w:val="00C01EB8"/>
    <w:rsid w:val="00C0624F"/>
    <w:rsid w:val="00C066FA"/>
    <w:rsid w:val="00C10BC5"/>
    <w:rsid w:val="00C125AF"/>
    <w:rsid w:val="00C218ED"/>
    <w:rsid w:val="00C33874"/>
    <w:rsid w:val="00C37513"/>
    <w:rsid w:val="00C37B96"/>
    <w:rsid w:val="00C44FEC"/>
    <w:rsid w:val="00C46FDC"/>
    <w:rsid w:val="00C72F46"/>
    <w:rsid w:val="00C838B8"/>
    <w:rsid w:val="00C90396"/>
    <w:rsid w:val="00C97A06"/>
    <w:rsid w:val="00CA2848"/>
    <w:rsid w:val="00CB330A"/>
    <w:rsid w:val="00CB40AE"/>
    <w:rsid w:val="00CC5157"/>
    <w:rsid w:val="00CC78D2"/>
    <w:rsid w:val="00CE615B"/>
    <w:rsid w:val="00CE6CAB"/>
    <w:rsid w:val="00CF2DB9"/>
    <w:rsid w:val="00D00DF7"/>
    <w:rsid w:val="00D0770C"/>
    <w:rsid w:val="00D21C67"/>
    <w:rsid w:val="00D33B6E"/>
    <w:rsid w:val="00D44E8F"/>
    <w:rsid w:val="00D46A0A"/>
    <w:rsid w:val="00D75339"/>
    <w:rsid w:val="00D84945"/>
    <w:rsid w:val="00D87C44"/>
    <w:rsid w:val="00D91E16"/>
    <w:rsid w:val="00D96E99"/>
    <w:rsid w:val="00DA74A0"/>
    <w:rsid w:val="00DB3FFE"/>
    <w:rsid w:val="00DB4480"/>
    <w:rsid w:val="00DC2AC6"/>
    <w:rsid w:val="00DE0D37"/>
    <w:rsid w:val="00DE209B"/>
    <w:rsid w:val="00DF3433"/>
    <w:rsid w:val="00E0598A"/>
    <w:rsid w:val="00E13047"/>
    <w:rsid w:val="00E14551"/>
    <w:rsid w:val="00E15BA5"/>
    <w:rsid w:val="00E35A42"/>
    <w:rsid w:val="00E42085"/>
    <w:rsid w:val="00E505A0"/>
    <w:rsid w:val="00E554F1"/>
    <w:rsid w:val="00E641EC"/>
    <w:rsid w:val="00E73368"/>
    <w:rsid w:val="00E75125"/>
    <w:rsid w:val="00E80198"/>
    <w:rsid w:val="00E83879"/>
    <w:rsid w:val="00E93714"/>
    <w:rsid w:val="00EA35A2"/>
    <w:rsid w:val="00EA3D40"/>
    <w:rsid w:val="00EB2DCF"/>
    <w:rsid w:val="00EB342C"/>
    <w:rsid w:val="00EC1C5C"/>
    <w:rsid w:val="00ED04E9"/>
    <w:rsid w:val="00ED5524"/>
    <w:rsid w:val="00EE4EF2"/>
    <w:rsid w:val="00EE5558"/>
    <w:rsid w:val="00EE58DA"/>
    <w:rsid w:val="00F12333"/>
    <w:rsid w:val="00F131E9"/>
    <w:rsid w:val="00F17AD8"/>
    <w:rsid w:val="00F225C9"/>
    <w:rsid w:val="00F26AA0"/>
    <w:rsid w:val="00F4511E"/>
    <w:rsid w:val="00F5000A"/>
    <w:rsid w:val="00F549C1"/>
    <w:rsid w:val="00F63D71"/>
    <w:rsid w:val="00F840FD"/>
    <w:rsid w:val="00F86966"/>
    <w:rsid w:val="00F87105"/>
    <w:rsid w:val="00F947CE"/>
    <w:rsid w:val="00F95D99"/>
    <w:rsid w:val="00F96225"/>
    <w:rsid w:val="00FA5B78"/>
    <w:rsid w:val="00FA68FD"/>
    <w:rsid w:val="00FA6CA0"/>
    <w:rsid w:val="00FB0F44"/>
    <w:rsid w:val="00FC0290"/>
    <w:rsid w:val="00FC38A6"/>
    <w:rsid w:val="00FD1D6B"/>
    <w:rsid w:val="00FD42E0"/>
    <w:rsid w:val="00FE0508"/>
    <w:rsid w:val="00FE5E01"/>
    <w:rsid w:val="00FE6931"/>
    <w:rsid w:val="00FF18B4"/>
    <w:rsid w:val="04585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7">
    <w:name w:val="List Paragraph"/>
    <w:basedOn w:val="1"/>
    <w:qFormat/>
    <w:uiPriority w:val="99"/>
    <w:pPr>
      <w:ind w:firstLine="420" w:firstLineChars="200"/>
    </w:p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customStyle="1" w:styleId="1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1">
    <w:name w:val="列表段落1"/>
    <w:basedOn w:val="1"/>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255B-3B96-4319-893C-BCD3BE4FD367}">
  <ds:schemaRefs/>
</ds:datastoreItem>
</file>

<file path=docProps/app.xml><?xml version="1.0" encoding="utf-8"?>
<Properties xmlns="http://schemas.openxmlformats.org/officeDocument/2006/extended-properties" xmlns:vt="http://schemas.openxmlformats.org/officeDocument/2006/docPropsVTypes">
  <Template>Normal</Template>
  <Pages>3</Pages>
  <Words>1290</Words>
  <Characters>1310</Characters>
  <Lines>9</Lines>
  <Paragraphs>2</Paragraphs>
  <TotalTime>794</TotalTime>
  <ScaleCrop>false</ScaleCrop>
  <LinksUpToDate>false</LinksUpToDate>
  <CharactersWithSpaces>1316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2022-07-24T04:46:00Z</dcterms:created>
  <dc:creator>董良</dc:creator>
  <cp:lastModifiedBy>umit</cp:lastModifiedBy>
  <dcterms:modified xsi:type="dcterms:W3CDTF">2023-05-04T17:15:57Z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CD09D3A467EF4FBEA3111D009162791A_12</vt:lpwstr>
  </property>
</Properties>
</file>